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E" w:rsidRPr="00F8522E" w:rsidRDefault="00F8522E" w:rsidP="00D45723">
      <w:pPr>
        <w:spacing w:line="240" w:lineRule="auto"/>
        <w:jc w:val="right"/>
        <w:rPr>
          <w:rFonts w:ascii="Adobe Caslon Pro" w:hAnsi="Adobe Caslon Pro" w:cs="Arial"/>
          <w:b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b/>
          <w:sz w:val="22"/>
          <w:szCs w:val="20"/>
          <w:lang w:val="es-MX"/>
        </w:rPr>
        <w:t>FORMATO 20</w: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  <w:r>
        <w:rPr>
          <w:rFonts w:ascii="Adobe Caslon Pro" w:hAnsi="Adobe Caslon Pro" w:cs="Arial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4C1EC" wp14:editId="3B7038DA">
                <wp:simplePos x="0" y="0"/>
                <wp:positionH relativeFrom="column">
                  <wp:posOffset>22860</wp:posOffset>
                </wp:positionH>
                <wp:positionV relativeFrom="paragraph">
                  <wp:posOffset>95884</wp:posOffset>
                </wp:positionV>
                <wp:extent cx="2133600" cy="581025"/>
                <wp:effectExtent l="19050" t="19050" r="19050" b="2857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22E" w:rsidRPr="00CD6C0F" w:rsidRDefault="00F8522E" w:rsidP="00F8522E">
                            <w:pPr>
                              <w:pStyle w:val="Textoindependiente3"/>
                              <w:rPr>
                                <w:rFonts w:ascii="Adobe Caslon Pro" w:hAnsi="Adobe Caslon Pro" w:cs="Arial"/>
                              </w:rPr>
                            </w:pPr>
                            <w:r w:rsidRPr="00CD6C0F">
                              <w:rPr>
                                <w:rFonts w:ascii="Adobe Caslon Pro" w:hAnsi="Adobe Caslon Pro" w:cs="Arial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CD6C0F">
                                <w:rPr>
                                  <w:rFonts w:ascii="Adobe Caslon Pro" w:hAnsi="Adobe Caslon Pro" w:cs="Arial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364C1E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1.8pt;margin-top:7.55pt;width:168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" strokeweight="3pt">
                <v:stroke linestyle="thinThin"/>
                <v:textbox>
                  <w:txbxContent>
                    <w:p w:rsidR="00F8522E" w:rsidRPr="00CD6C0F" w:rsidRDefault="00F8522E" w:rsidP="00F8522E">
                      <w:pPr>
                        <w:pStyle w:val="Textoindependiente3"/>
                        <w:rPr>
                          <w:rFonts w:ascii="Adobe Caslon Pro" w:hAnsi="Adobe Caslon Pro" w:cs="Arial"/>
                        </w:rPr>
                      </w:pPr>
                      <w:r w:rsidRPr="00CD6C0F">
                        <w:rPr>
                          <w:rFonts w:ascii="Adobe Caslon Pro" w:hAnsi="Adobe Caslon Pro" w:cs="Arial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CD6C0F">
                          <w:rPr>
                            <w:rFonts w:ascii="Adobe Caslon Pro" w:hAnsi="Adobe Caslon Pro" w:cs="Arial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C.P. PABLO SUÁREZ COELLO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Director General de Transporte Ferroviario y Multimodal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Calle de Nueva York, 115, Piso 6, Colonia Nápoles, C.P. 03810, México, D.F.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PRESENTE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01383" w:rsidRPr="004C53E7" w:rsidRDefault="003869C4" w:rsidP="00201383">
      <w:pPr>
        <w:tabs>
          <w:tab w:val="left" w:pos="426"/>
          <w:tab w:val="left" w:pos="993"/>
        </w:tabs>
        <w:rPr>
          <w:rFonts w:ascii="Adobe Caslon Pro" w:hAnsi="Adobe Caslon Pro" w:cs="Arial"/>
          <w:b/>
          <w:sz w:val="22"/>
          <w:szCs w:val="22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Me refiero a la </w:t>
      </w:r>
      <w:r w:rsidR="00201383" w:rsidRPr="004C53E7">
        <w:rPr>
          <w:rFonts w:ascii="Adobe Caslon Pro" w:hAnsi="Adobe Caslon Pro" w:cs="Arial"/>
          <w:b/>
        </w:rPr>
        <w:t>INVITACIÓN A CUANDO MENOS TRES PERSONAS NO. IO-009000988-N</w:t>
      </w:r>
      <w:r w:rsidR="00201383">
        <w:rPr>
          <w:rFonts w:ascii="Adobe Caslon Pro" w:hAnsi="Adobe Caslon Pro" w:cs="Arial"/>
          <w:b/>
        </w:rPr>
        <w:t>18</w:t>
      </w:r>
      <w:r w:rsidR="00201383" w:rsidRPr="004C53E7">
        <w:rPr>
          <w:rFonts w:ascii="Adobe Caslon Pro" w:hAnsi="Adobe Caslon Pro" w:cs="Arial"/>
          <w:b/>
        </w:rPr>
        <w:t>-2013</w:t>
      </w:r>
      <w:r w:rsidR="00201383" w:rsidRPr="004C53E7">
        <w:rPr>
          <w:rFonts w:ascii="Adobe Caslon Pro" w:hAnsi="Adobe Caslon Pro" w:cs="Arial"/>
        </w:rPr>
        <w:t xml:space="preserve">, para la contratación de los trabajos consistentes en: </w:t>
      </w:r>
      <w:r w:rsidR="00201383" w:rsidRPr="004C53E7">
        <w:rPr>
          <w:rFonts w:ascii="Adobe Caslon Pro" w:hAnsi="Adobe Caslon Pro" w:cs="Arial"/>
          <w:b/>
        </w:rPr>
        <w:t>“</w:t>
      </w:r>
      <w:r w:rsidR="00201383" w:rsidRPr="002F722D">
        <w:rPr>
          <w:rFonts w:ascii="Adobe Caslon Pro" w:hAnsi="Adobe Caslon Pro" w:cs="Arial"/>
          <w:b/>
          <w:sz w:val="22"/>
          <w:lang w:val="es-MX"/>
        </w:rPr>
        <w:t>Primera etapa de los servicios para la Liberación de Derecho de Vía del proyecto ferroviario de pasajeros Tren México – Toluca</w:t>
      </w:r>
      <w:r w:rsidR="00201383" w:rsidRPr="004C53E7">
        <w:rPr>
          <w:rFonts w:ascii="Adobe Caslon Pro" w:hAnsi="Adobe Caslon Pro" w:cs="Arial"/>
          <w:b/>
        </w:rPr>
        <w:t>”</w:t>
      </w:r>
      <w:r w:rsidR="00201383" w:rsidRPr="004C53E7">
        <w:rPr>
          <w:rFonts w:ascii="Adobe Caslon Pro" w:hAnsi="Adobe Caslon Pro" w:cs="Arial"/>
          <w:b/>
          <w:sz w:val="22"/>
          <w:szCs w:val="22"/>
        </w:rPr>
        <w:t>.</w:t>
      </w:r>
    </w:p>
    <w:p w:rsidR="003869C4" w:rsidRPr="00201383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Se hace constar que la empresa NOMBRE DE LA EMPRESA LICITANTE manifiesta a usted que nos adherimos al acta para combatir el cohecho de servidores públicos de los países miembros de la organización para la cooperación y el desarrollo económicos, la cual se tr</w:t>
      </w:r>
      <w:bookmarkStart w:id="0" w:name="_GoBack"/>
      <w:bookmarkEnd w:id="0"/>
      <w:r w:rsidRPr="00F8522E">
        <w:rPr>
          <w:rFonts w:ascii="Adobe Caslon Pro" w:hAnsi="Adobe Caslon Pro" w:cs="Arial"/>
          <w:sz w:val="22"/>
          <w:szCs w:val="20"/>
          <w:lang w:val="es-MX"/>
        </w:rPr>
        <w:t>anscribe a continuación: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Nota informativa para participantes de países miembros de la Organización para la Cooperación y el Desarrollo Económico (OCDE). 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Asimismo se deberá cumplir con lo dispuesto en la Ley Federal de Anticorrupción en Contrataciones Públicas, publicada en el Diario Oficial de la Fe</w:t>
      </w:r>
      <w:r w:rsidR="000766C4" w:rsidRPr="00F8522E">
        <w:rPr>
          <w:rFonts w:ascii="Adobe Caslon Pro" w:hAnsi="Adobe Caslon Pro" w:cs="Arial"/>
          <w:sz w:val="22"/>
          <w:szCs w:val="20"/>
          <w:lang w:val="es-MX" w:eastAsia="es-ES"/>
        </w:rPr>
        <w:t>deración el 11 de junio de 2012</w:t>
      </w: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: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Anexo al Oficio Circular No.  SACN/300/ 1 48 /2003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Nota informativa para participantes de países miembros de la Organización para la Cooperación y el Desarrollo Económico, (OCDE).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El compromiso de México en el combate a la corrupción ha trascendido nuestras fronteras y el ámbito de acción del gobierno federal. En el plano internacional y como miembro de la Organización para la Cooperación y el Desarrollo Económico (OCDE) y firmante de la Convención para combatir el cohecho de servidores públicos extranjeros en transacciones comerciales internacionales, hemos adquirido responsabilidades que involucran a los </w:t>
      </w: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lastRenderedPageBreak/>
        <w:t xml:space="preserve">sectores público y privado. </w:t>
      </w: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compilen por las contrataciones gubernamentales.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 OCDE ha establecido mecanismos muy claros para que los países firmantes de la Convención cumplan con las recomendaciones emitidas por ésta y en el caso de México, iniciará en noviembre de 2003 una segunda fase de evaluación -la primera ya fue aprobada-  en donde un grupo de expertos verificará, entre otros: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La compatibilidad de nuestro marco jurídico con las disposiciones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El conocimiento que tengan los sectores público y privado de las recomendaciones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resultado de esta evaluación impactará el grado de inversión otorgado a México por las agencias calificadoras y la atracción de inversión extranjera.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público se centran en: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Profundizar las reformas legales que inició en 1999.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Difundir las recomendaciones de la Convención y las obligaciones de cada uno de los actores comprometidos en su cumplimiento.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Presentar casos de cohecho en proceso y concluidos (incluyendo aquellos relacionados con lavado de dinero y extradición).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privado contemplan: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contadores públicos: realizar auditorías; no encubrir actividades ilícitas (doble contabilidad y transacciones 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indebidas, como asientos contables falsificados, informes financieros fraudulentos, transferencias sin autorización, acceso a los activos sin consentimiento de la gerencia); utilizar registros contables precisos; informar a los directivos SEPARADOR conductas ilegales.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abogados: promover el cumplimiento y revisión de la Convención (imprimir el carácter vinculatorio entre ésta y la legislación nacional): impulsar los esquemas preventivos que deben adoptar las empresas.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sanciones impuestas a las personas físicas o morales (privados) y a los servidores públicos que incumplan las recomendaciones de la Convención, implican entre otras, privación de la libertad, extradición, decomiso y/o embargo de dinero o bienes.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Asimismo, es importante conocer que el pago realizado a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culpable puede ser perseguido en cualquier país firmante de la Convención, independientemente del lugar donde el acto de cohecho haya sido cometido.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la medida que estos lineamientos sean conocidos por las empresas y los servidores públicos del país, estaremos contribuyendo a construir estructuras preventivas que impidan el incumplimiento de las recomendaciones de la Convención y por tanto la comisión de actos de corrupción.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Por otra parte, es de señalar que el Código Penal Federal sanciona el cohecho en los siguientes términos: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“Artículo 222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Cometen el delito de cohecho: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servidor público que por sí, o por interpósita persona solicite o reciba indebidamente para sí o para otro, dinero o cualquiera otra dádiva, o acepte una promesa, para hacer o dejar de hacer algo justo o injusto relacionado con sus funciones, y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que de manera espontánea dé u ofrezca dinero o cualquier otra dádiva a alguna de las personas que se mencionan en la fracción anterior, para que cualquier servidor público haga u omita un acto justo o injusto relacionado con sus funciones.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Al que comete el delito de cohecho se le impondrán las siguientes sanciones: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F8522E">
        <w:rPr>
          <w:rFonts w:ascii="Adobe Caslon Pro" w:hAnsi="Adobe Caslon Pro" w:cs="Arial"/>
          <w:sz w:val="22"/>
          <w:szCs w:val="20"/>
          <w:lang w:val="es-MX"/>
        </w:rPr>
        <w:t>valuable</w:t>
      </w:r>
      <w:proofErr w:type="spellEnd"/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ningún caso se devolverá a los responsables del delito de cohecho, el dinero o dádivas entregadas, las mismas se aplicarán en beneficio del Estado. </w:t>
      </w: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Capítulo XI.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Cohecho a servidores públicos extranjeros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Artículo 222 bis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determine, para que dicho servidor público gestione o se abstenga de gestionar la tramitación o resolución de asuntos relacionados con las funciones inherentes a su empleo, cargo o comisión;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 para llevar a cabo la tramitación o resolución de cualquier asunto que se encuentre fuera del ámbito de las funciones inherentes a su empleo, cargo o comisión, o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cualquier persona para que acuda ante un servidor público extranjero y le requiera o le proponga llevar 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a cabo la tramitación o resolución de cualquier asunto relacionado con las funciones inherentes al empleo, cargo o comisión de este último.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Para los efectos de este artículo se entiende por servidor público extranjero, toda persona que desempeñe un empleo, cargo o comisión en el poder legislativo, ejecutivo o judicial o en un órgano público autónomo en cualquier orden o nivel de gobierno de un Estado extranjero, sea designado o electo; cualquier persona en ejercicio de una función para una autoridad, organismo o empresa pública o de participación estatal de un país extranjero; y cualquier funcionario o agente de un organismo u organización pública internacional.</w:t>
      </w:r>
    </w:p>
    <w:p w:rsidR="00280E3A" w:rsidRPr="00F8522E" w:rsidRDefault="00280E3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7D19BA" w:rsidRPr="00F8522E" w:rsidRDefault="00FC4093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Cuando alguno de los delitos comprendidos en este artículo se cometa en los supuestos a que se refiere el artículo 11 de este Código, el juez impondrá a la persona moral hasta mil  días multa y podrá decretar su suspensión o disolución, tomando en consideración el grado de conocimiento de los órganos de administración respecto del cohecho en la transacción internacional y el daño causado o el beneficio obtenido por la persona moral.</w:t>
      </w:r>
    </w:p>
    <w:p w:rsidR="00280E3A" w:rsidRPr="00F8522E" w:rsidRDefault="00280E3A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ATENTAMENTE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______________________________________________________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REPRESENTANTE LEGAL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CARGO REPRESENTANTE LEGAL</w:t>
      </w:r>
    </w:p>
    <w:sectPr w:rsidR="00280E3A" w:rsidRPr="00F8522E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78" w:rsidRDefault="00F77C78">
      <w:r>
        <w:separator/>
      </w:r>
    </w:p>
  </w:endnote>
  <w:endnote w:type="continuationSeparator" w:id="0">
    <w:p w:rsidR="00F77C78" w:rsidRDefault="00F7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201383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201383">
              <w:rPr>
                <w:b/>
                <w:bCs/>
                <w:noProof/>
              </w:rPr>
              <w:t>5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78" w:rsidRDefault="00F77C78">
      <w:r>
        <w:separator/>
      </w:r>
    </w:p>
  </w:footnote>
  <w:footnote w:type="continuationSeparator" w:id="0">
    <w:p w:rsidR="00F77C78" w:rsidRDefault="00F77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383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27619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0E3A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9C4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6878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0ED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C6002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77C78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22E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40C62-C5EA-4760-AB95-9A0B8394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5</Pages>
  <Words>1436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9318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2</cp:revision>
  <cp:lastPrinted>2013-09-23T21:55:00Z</cp:lastPrinted>
  <dcterms:created xsi:type="dcterms:W3CDTF">2013-10-11T00:10:00Z</dcterms:created>
  <dcterms:modified xsi:type="dcterms:W3CDTF">2013-10-11T00:10:00Z</dcterms:modified>
</cp:coreProperties>
</file>